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4"/>
          <w:szCs w:val="24"/>
          <w:rtl w:val="0"/>
        </w:rPr>
        <w:t xml:space="preserve">Town of Evanston Police Report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I, Detective ___________________________, arrived at the Verbermockle’s house at 3:30 p.m. on September 18, 2015. I immediately observed Mr. Verbermockle on the floor, covered by a blanket. He was still holding his toothbrush and a small broken bottle was by his right foot. I also noticed high heeled footprints exiting from the shower. It appeared the shower had just been running, and a bar of soap was on the floor.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I interviewed Mrs. Vermockle, and she believes he must have been taking a shower and slipped on a cake of soap. She also said she did not move him. She threw a blanket over him and immediately called the police.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sz w:val="24"/>
          <w:szCs w:val="24"/>
          <w:rtl w:val="0"/>
        </w:rPr>
        <w:t xml:space="preserve">When the doctor arrived, he said that Mr. Verbermockle died as a result of a fracture at the rear of his skull. However, upon further investigation it is my belief that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First,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 a rule,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Second,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 a rule,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3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Third,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As a rule,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4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Someone might say…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5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60"/>
        <w:tblGridChange w:id="0">
          <w:tblGrid>
            <w:gridCol w:w="93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  <w:t xml:space="preserve">However,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line="480" w:lineRule="auto"/>
        <w:ind w:left="0" w:firstLine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5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