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Directions for “Homework” rhetoric writing assignment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 to your google drive.</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 to you language arts folder.</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Create a new folder.</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it “Argument 2015”</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you create your argument folder, create a new document in that folder.</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Call it “Homework”</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Look at the writing piece you wrote the other day regarding whether or not students should be required to have homework. Using your new knowledge of rhetoric, rewrite this piece incorporating one of more of the different types of rhetoric. You want to persuade your reader using LOGOS, PATHOS, and/or ETHOS.</w:t>
      </w:r>
    </w:p>
    <w:p w:rsidR="00000000" w:rsidDel="00000000" w:rsidP="00000000" w:rsidRDefault="00000000" w:rsidRPr="00000000">
      <w:pPr>
        <w:contextualSpacing w:val="0"/>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Remember pathos appeals to the reader’s emotions, logos uses facts and data, and ethos uses trustworthy sources.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type of rhetoric is being used in this example?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Mary Jane Cera is the academic administrator for the Kino School, a private, nonprofit K-12 school in Tucson, Arizona, which maintains a no-homework policy across all grades. The purpose of the policy is to make sure learning remains a joy for students, not a second shift of work that impedes social time and creative activity. Cera says that when new students are told there will be no homework assignments, they breathe a sigh of relief.</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